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0" w:before="700"/>
        <w:jc w:val="center"/>
      </w:pPr>
      <w:r>
        <w:rPr>
          <w:rFonts w:ascii="Vazirmatn" w:cs="Vazirmatn" w:eastAsia="Vazirmatn" w:hAnsi="Vazirmatn"/>
          <w:b/>
          <w:bCs/>
          <w:i w:val="false"/>
          <w:iCs w:val="false"/>
          <w:color w:val="8A8A8A"/>
          <w:sz w:val="20"/>
          <w:szCs w:val="20"/>
          <w:rtl/>
        </w:rPr>
        <w:t xml:space="preserve">محرمانه — پیش‌نویس کاری</w:t>
      </w:r>
    </w:p>
    <w:p>
      <w:pPr>
        <w:spacing w:after="26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bidi/>
        <w:spacing w:after="80" w:line="360"/>
        <w:jc w:val="center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40"/>
          <w:szCs w:val="40"/>
          <w:rtl/>
        </w:rPr>
        <w:t xml:space="preserve">پیش‌نویس بودجهٔ عملیاتی و برنامهٔ توسعهٔ پنج‌ساله</w:t>
      </w:r>
    </w:p>
    <w:p>
      <w:pPr>
        <w:bidi/>
        <w:spacing w:after="60" w:line="320"/>
        <w:jc w:val="center"/>
      </w:pPr>
      <w:r>
        <w:rPr>
          <w:rFonts w:ascii="Vazirmatn" w:cs="Vazirmatn" w:eastAsia="Vazirmatn" w:hAnsi="Vazirmatn"/>
          <w:b/>
          <w:bCs/>
          <w:i w:val="false"/>
          <w:iCs w:val="false"/>
          <w:color w:val="333333"/>
          <w:sz w:val="28"/>
          <w:szCs w:val="28"/>
          <w:rtl/>
        </w:rPr>
        <w:t xml:space="preserve">صندوق پژوهش و فناوری گروه داریک</w:t>
      </w:r>
    </w:p>
    <w:p>
      <w:pPr>
        <w:bidi/>
        <w:spacing w:after="220"/>
        <w:jc w:val="center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color w:val="8A8A8A"/>
          <w:sz w:val="20"/>
          <w:szCs w:val="20"/>
          <w:rtl/>
        </w:rPr>
        <w:t xml:space="preserve">Daric Research &amp; Technology / Corporate-VC Fund</w:t>
      </w:r>
    </w:p>
    <w:p>
      <w:pPr>
        <w:pBdr>
          <w:bottom w:val="single" w:color="7A5C12" w:sz="12" w:space="6"/>
        </w:pBdr>
        <w:bidi/>
        <w:spacing w:after="30"/>
        <w:jc w:val="center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8"/>
          <w:szCs w:val="8"/>
          <w:rtl/>
        </w:rPr>
        <w:t xml:space="preserve"/>
      </w:r>
    </w:p>
    <w:p>
      <w:pPr>
        <w:spacing w:after="22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bidi/>
        <w:spacing w:after="60"/>
        <w:jc w:val="center"/>
      </w:pPr>
      <w:r>
        <w:rPr>
          <w:rFonts w:ascii="Vazirmatn" w:cs="Vazirmatn" w:eastAsia="Vazirmatn" w:hAnsi="Vazirmatn"/>
          <w:b/>
          <w:bCs/>
          <w:i w:val="false"/>
          <w:iCs w:val="false"/>
          <w:color w:val="9A7A1A"/>
          <w:sz w:val="26"/>
          <w:szCs w:val="26"/>
          <w:rtl/>
        </w:rPr>
        <w:t xml:space="preserve">سرمایهٔ ثبتی: ۴۰۰ میلیارد تومان</w:t>
      </w:r>
    </w:p>
    <w:p>
      <w:pPr>
        <w:bidi/>
        <w:spacing w:after="60"/>
        <w:jc w:val="center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color w:val="555555"/>
          <w:sz w:val="19"/>
          <w:szCs w:val="19"/>
          <w:rtl/>
        </w:rPr>
        <w:t xml:space="preserve">افق برنامه: ۵ ساله  |  حوزه‌ها: تأمین مالی فناورانه، شناختی، هوش مصنوعی و حکمرانی آن، فینتک هوشمند، قرارداد هوشمند و کریپتو</w:t>
      </w:r>
    </w:p>
    <w:p>
      <w:pPr>
        <w:spacing w:after="42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bidi/>
        <w:spacing w:after="40"/>
        <w:jc w:val="center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color w:val="555555"/>
          <w:sz w:val="20"/>
          <w:szCs w:val="20"/>
          <w:rtl/>
        </w:rPr>
        <w:t xml:space="preserve">تاریخ: خرداد ۱۴۰۵</w:t>
      </w:r>
    </w:p>
    <w:p>
      <w:pPr>
        <w:bidi/>
        <w:spacing w:after="40"/>
        <w:jc w:val="center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color w:val="555555"/>
          <w:sz w:val="20"/>
          <w:szCs w:val="20"/>
          <w:rtl/>
        </w:rPr>
        <w:t xml:space="preserve">تهیه‌شده برای: هیئت‌مدیره و سهامداران صندوق</w:t>
      </w:r>
    </w:p>
    <w:p>
      <w:r>
        <w:br w:type="pag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فهرست مطالب</w:t>
      </w:r>
    </w:p>
    <w:p>
      <w:pPr>
        <w:bidi/>
        <w:spacing w:after="80" w:before="0" w:line="300"/>
        <w:jc w:val="right"/>
      </w:pPr>
      <w:r>
        <w:rPr>
          <w:rFonts w:ascii="Vazirmatn" w:cs="Vazirmatn" w:eastAsia="Vazirmatn" w:hAnsi="Vazirmatn"/>
          <w:b w:val="false"/>
          <w:bCs w:val="false"/>
          <w:i/>
          <w:iCs/>
          <w:color w:val="888888"/>
          <w:sz w:val="18"/>
          <w:szCs w:val="18"/>
          <w:rtl/>
        </w:rPr>
        <w:t xml:space="preserve">برای به‌روزرسانی شماره‌ٔ صفحات در Word: کلیک‌راست روی فهرست ← Update Field.</w:t>
      </w:r>
    </w:p>
    <w:sdt>
      <w:sdtPr>
        <w:alias w:val="TOC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خلاصهٔ مدیریتی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این سند، پیش‌نویس بودجهٔ عملیاتی و برنامهٔ توسعهٔ پنج‌سالهٔ صندوق پژوهش و فناوری گروه داریک با سرمایهٔ ثبتی ۴۰۰ میلیارد تومان است. راهبرد کلان، تبدیل سرمایهٔ پایه به رشدی پرشتاب از طریق پنج اهرم همزمان (اهرم مقرراتی ضمانت‌نامه، اهرم منابع نهادی/عاملیت، اهرم طلای داریک، اهرم فناوری و هوش مصنوعی، و اهرم خزانه‌داری) است؛ به‌نحوی‌که صندوق ظرف سه سال به جمع صندوق‌های برتر کشور بپیوندد.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ارقام کلیدی مدل پایه (Base case):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جمع درآمد سال نخست ۱۰۱٫۸ و سال پنجم ۶۷۴٫۳ میلیارد تومان؛ سود خالص از ۲۲٫۳ (سال ۱) به ۳۵۶٫۱ میلیارد تومان (سال ۵)؛ سود انباشتهٔ ۵ ساله ≈ ۷۸۶ میلیارد تومان (~۲ برابر سرمایه). نقطهٔ سربه‌سر عملیاتی در ماه ۴ و بازگشت کامل زیان راه‌اندازی در ماه ۶ محقق می‌شود. نسبت هزینه به درآمد از ۷۸٪ به ۴۷٪ بهبود می‌یابد و بازده حقوق صاحبان سهام (بر مبنای سرمایهٔ اولیه) به ~۸۹٪ در سال پنجم می‌رسد.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اهرم تعیین‌کننده: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بر اساس دستورالعمل کارگروه، سقف صدور ضمانت‌نامهٔ صندوق تا ۱۲ برابر سرمایهٔ ثبتی است؛ یعنی ظرفیت تعهد تا ۴٬۸۰۰ میلیارد تومان با مصرف سرمایهٔ اندک و کارمزد مکرر. مدل پایه به‌صورت محافظه‌کارانه فقط تا ~۸۷٪ این سقف را در سال پنجم به‌کار می‌گیرد.</w:t>
      </w:r>
    </w:p>
    <w:p>
      <w:pPr>
        <w:spacing w:after="6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۱) دامنه، زمینه و روش‌شناسی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نکتهٔ دسترسی: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در زمان تهیهٔ این پیش‌نویس، نشانی daric.orcest.ai از محیط بررسی در دسترس نبود (خطای 503 — قطع ارتباط با upstream روی سرور میزبان). بنابراین فهرست خدمات بر مبنای چارچوب مقرراتی صندوق‌های پژوهش و فناوری کشور و ظرفیت‌های شناخته‌شدهٔ پلتفرم داریک (فینتک طلای دارای مجوز) تدوین شده است. پس از در دسترس قرار گرفتن سایت، انطباق نهایی توصیه می‌شود.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واحد ارقام: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میلیارد تومان. کلیهٔ اعداد «مدل پایه» و برای تصمیم‌سازی‌اند؛ پیش از نهایی‌سازی باید با تیم مالی/حقوقی و چارچوب صندوق نوآوری و شکوفایی صحت‌سنجی شوند. این سند توصیهٔ سرمایه‌گذاری نیست.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مبنای حقوقی فعالیت: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مادهٔ ۱۰۰ قانون برنامهٔ سوم توسعه و اساسنامهٔ مصوب هیئت وزیران، تحت نظارت کارگروه صندوق‌های پژوهش و فناوری و صندوق نوآوری و شکوفایی؛ با بهره‌مندی از معافیت‌های مالیاتی فعالیت‌های دانش‌بنیان.</w:t>
      </w:r>
    </w:p>
    <w:p>
      <w:pPr>
        <w:spacing w:after="6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۲) محصولات و خدمات صندوق‌های پژوهش و فناوری (پایه)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سبد خدمات استاندارد و مجاز که شالودهٔ درآمد صندوق را می‌سازد: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صدور انواع ضمانت‌نامه: شرکت در مناقصه/مزایده، پیش‌پرداخت، حسن انجام کار (تعهدات)، تعهد پرداخت، گمرکی و کسر اقساط — با سپردهٔ نقدی ۵٪ تا ۱۳٪ از مشتری و کارمزد حدود ۲٪ تا ۴٪ سالانه.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اعطای تسهیلات در قالب عقود مبادله‌ای: سرمایه در گردش، نمونه‌سازی، قبل از تولید صنعتی، تولید صنعتی، خرید دین و قرض‌الحسنه با نرخ‌های ترجیحی.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فروش اقساطی، لیزینگ و استصناع تجهیزات و دارایی‌های فناورانه و سرمایه‌ای.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سرمایه‌گذاری خطرپذیر و مشارکت در طرح‌های دانش‌بنیان، فناور و استارتاپ‌های با ارزش‌افزودهٔ بالا.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کارگزاری مالی نهادها و دستگاه‌های اجرایی کشور و اهرمی‌کردن و تخصیص بهینهٔ منابع حمایتی (عاملیت).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ارزیابی و اعتبارسنجی شرکت‌ها و طرح‌های فناور و تعیین حد اعتباری یک‌ساله.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کمک‌های بلاعوض و پرداخت تمام یا بخشی از سود تسهیلات در چارچوب مصوبات.</w:t>
      </w:r>
    </w:p>
    <w:p>
      <w:pPr>
        <w:spacing w:after="4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۳) محصولات متمایز مبتنی بر ظرفیت داریک و فناوری‌های نوظهور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لایهٔ تمایز رقابتی صندوق که با تکیه بر زیرساخت طلا، قرارداد هوشمند و هوش مصنوعی، آن را از صندوق‌های سنتی متمایز می‌کند: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تأمین مالی تضمین‌شده با طلا (Gold-backed financing):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تسهیلات و ضمانت‌نامه با وثیقهٔ طلا/گواهی سپردهٔ داریک؛ کاهش شدید ریسک نکول، سپردهٔ نقدی پایین‌تر و سرعت تصویب بالاتر.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توکن‌سازی طلا و دارایی (Tokenization):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صدور توکن‌های پشتوانه‌دار و RWA با کارمزد صدور، بازخرید و مدیریت دارایی.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قراردادهای هوشمند تأمین مالی (Smart-contract financing):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اسکرو، آزادسازی مرحله‌ای وجوه، ضمانت‌نامهٔ قابل‌برنامه‌ریزی و تسویهٔ خودکار.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خدمات کریپتو در چارچوب مقررات: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مدیریت وثیقهٔ رمزارزی، صندوق‌های رمز-طلا و ابزارهای تسویهٔ دیجیتال.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موتور تأمین مالی هوش مصنوعی/OSINT: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اعتبارسنجی هوشمند، کشف زودهنگام ریسک، قیمت‌گذاری پویا و پایش بلادرنگ پرتفوی.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اعتبارسنجی و ارزش‌گذاری هوشمند دارایی فکری: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توثیق دارایی‌های نامشهود شرکت‌های دانش‌بنیان با مدل‌های AI.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خدمات حکمرانی هوش مصنوعی (AI Governance):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انطباق، ممیزی الگوریتمی و چارچوب ریسک مدل برای نهادهای مالی و فناور.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بازارگاه تأمین مالی دیجیتال: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اتصال متقاضی–سرمایه، سندیکاسیون و توزیع ریسک.</w:t>
      </w:r>
    </w:p>
    <w:p>
      <w:pPr>
        <w:spacing w:after="4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۴) راهبرد رشد پرشتاب و مدل اهرم منابع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هستهٔ راهبرد، فعال‌سازی همزمان پنج اهرم برای جهش از سرمایهٔ ۴۰۰ میلیاردی به ظرفیت تأمین مالی چندهزار‌میلیاردی است: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22"/>
          <w:szCs w:val="22"/>
          <w:rtl/>
        </w:rPr>
        <w:t xml:space="preserve">1. </w:t>
      </w: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اهرم مقرراتی ضمانت‌نامه (۱۲×):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تبدیل ۴۰۰ به ظرفیت تعهد ۴٬۸۰۰ میلیارد تومان؛ کارمزد مکرر با مصرف سرمایهٔ حداقلی و درآمد float ودیعه.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22"/>
          <w:szCs w:val="22"/>
          <w:rtl/>
        </w:rPr>
        <w:t xml:space="preserve">2. </w:t>
      </w: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اهرم منابع نهادی و عاملیت: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جذب و مدیریت منابع صندوق نوآوری، دستگاه‌های اجرایی و خطوط اعتباری؛ بازده بالا با مصرف سرمایهٔ اندک (off-balance-sheet).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22"/>
          <w:szCs w:val="22"/>
          <w:rtl/>
        </w:rPr>
        <w:t xml:space="preserve">3. </w:t>
      </w: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اهرم طلای داریک: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نقدینگی و وثیقهٔ سهل‌البیع طلا؛ کاهش ریسک، تأیید سریع و قیمت‌گذاری بهتر نسبت به رقبا.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22"/>
          <w:szCs w:val="22"/>
          <w:rtl/>
        </w:rPr>
        <w:t xml:space="preserve">4. </w:t>
      </w: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اهرم فناوری و هوش مصنوعی: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اتوماسیون اعتبارسنجی و نظارت؛ مقیاس‌پذیری بدون رشد خطی هزینه (افت نسبت هزینه/درآمد از ۷۸٪ به ۴۷٪).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22"/>
          <w:szCs w:val="22"/>
          <w:rtl/>
        </w:rPr>
        <w:t xml:space="preserve">5. </w:t>
      </w: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اهرم خزانه‌داری: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درآمدزایی از سرمایهٔ در گردش و float ودیعهٔ مشتریان در محیط نرخ بالا تا استقرار کامل پرتفوی اعتباری.</w:t>
      </w:r>
    </w:p>
    <w:p>
      <w:pPr>
        <w:spacing w:after="6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۵) تخصیص سرمایهٔ ۴۰۰ میلیارد تومانی</w:t>
      </w:r>
    </w:p>
    <w:tbl>
      <w:tblPr>
        <w:bidiVisual/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0"/>
        <w:gridCol w:w="1640"/>
        <w:gridCol w:w="1100"/>
        <w:gridCol w:w="3580"/>
      </w:tblGrid>
      <w:tr>
        <w:trPr>
          <w:tblHeader/>
        </w:trPr>
        <w:tc>
          <w:tcPr>
            <w:tcW w:type="dxa" w:w="376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محل تخصیص (میانگین سال نخست)</w:t>
            </w:r>
          </w:p>
        </w:tc>
        <w:tc>
          <w:tcPr>
            <w:tcW w:type="dxa" w:w="16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مبلغ</w:t>
            </w:r>
          </w:p>
        </w:tc>
        <w:tc>
          <w:tcPr>
            <w:tcW w:type="dxa" w:w="11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سهم</w:t>
            </w:r>
          </w:p>
        </w:tc>
        <w:tc>
          <w:tcPr>
            <w:tcW w:type="dxa" w:w="35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کارکرد راهبردی</w:t>
            </w:r>
          </w:p>
        </w:tc>
      </w:tr>
      <w:tr>
        <w:tc>
          <w:tcPr>
            <w:tcW w:type="dxa" w:w="376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ذخیره و خزانهٔ نقدی</w:t>
            </w:r>
          </w:p>
        </w:tc>
        <w:tc>
          <w:tcPr>
            <w:tcW w:type="dxa" w:w="16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۱۹۰</w:t>
            </w:r>
          </w:p>
        </w:tc>
        <w:tc>
          <w:tcPr>
            <w:tcW w:type="dxa" w:w="11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۴۷٫۵٪</w:t>
            </w:r>
          </w:p>
        </w:tc>
        <w:tc>
          <w:tcPr>
            <w:tcW w:type="dxa" w:w="35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پشتیبان فراخوان ضمانت‌نامه + درآمد خزانه‌داری</w:t>
            </w:r>
          </w:p>
        </w:tc>
      </w:tr>
      <w:tr>
        <w:tc>
          <w:tcPr>
            <w:tcW w:type="dxa" w:w="376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پرتفوی تسهیلات (سرمایه‌درگردش/خرید دین/لیزینگ)</w:t>
            </w:r>
          </w:p>
        </w:tc>
        <w:tc>
          <w:tcPr>
            <w:tcW w:type="dxa" w:w="16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۱۲۰</w:t>
            </w:r>
          </w:p>
        </w:tc>
        <w:tc>
          <w:tcPr>
            <w:tcW w:type="dxa" w:w="11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۳۰٫۰٪</w:t>
            </w:r>
          </w:p>
        </w:tc>
        <w:tc>
          <w:tcPr>
            <w:tcW w:type="dxa" w:w="35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اسپرد بهره و گردش سریع منابع</w:t>
            </w:r>
          </w:p>
        </w:tc>
      </w:tr>
      <w:tr>
        <w:tc>
          <w:tcPr>
            <w:tcW w:type="dxa" w:w="376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سرمایه‌گذاری و مشارکت (VC + اکوسیستم داریک)</w:t>
            </w:r>
          </w:p>
        </w:tc>
        <w:tc>
          <w:tcPr>
            <w:tcW w:type="dxa" w:w="16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۶۰</w:t>
            </w:r>
          </w:p>
        </w:tc>
        <w:tc>
          <w:tcPr>
            <w:tcW w:type="dxa" w:w="11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۱۵٫۰٪</w:t>
            </w:r>
          </w:p>
        </w:tc>
        <w:tc>
          <w:tcPr>
            <w:tcW w:type="dxa" w:w="35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رشد ارزش، سود تقسیمی و خروج آتی</w:t>
            </w:r>
          </w:p>
        </w:tc>
      </w:tr>
      <w:tr>
        <w:tc>
          <w:tcPr>
            <w:tcW w:type="dxa" w:w="376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دارایی ثابت و نامشهود (زیرساخت AI/پلتفرم/تجهیز)</w:t>
            </w:r>
          </w:p>
        </w:tc>
        <w:tc>
          <w:tcPr>
            <w:tcW w:type="dxa" w:w="16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۳۰</w:t>
            </w:r>
          </w:p>
        </w:tc>
        <w:tc>
          <w:tcPr>
            <w:tcW w:type="dxa" w:w="11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۷٫۵٪</w:t>
            </w:r>
          </w:p>
        </w:tc>
        <w:tc>
          <w:tcPr>
            <w:tcW w:type="dxa" w:w="35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موتور فناورانه و مزیت رقابتی</w:t>
            </w:r>
          </w:p>
        </w:tc>
      </w:tr>
      <w:tr>
        <w:tc>
          <w:tcPr>
            <w:tcW w:type="dxa" w:w="376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جمع سرمایهٔ ثبتی</w:t>
            </w:r>
          </w:p>
        </w:tc>
        <w:tc>
          <w:tcPr>
            <w:tcW w:type="dxa" w:w="16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۴۰۰</w:t>
            </w:r>
          </w:p>
        </w:tc>
        <w:tc>
          <w:tcPr>
            <w:tcW w:type="dxa" w:w="11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۱۰۰٪</w:t>
            </w:r>
          </w:p>
        </w:tc>
        <w:tc>
          <w:tcPr>
            <w:tcW w:type="dxa" w:w="35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—</w:t>
            </w:r>
          </w:p>
        </w:tc>
      </w:tr>
    </w:tbl>
    <w:p>
      <w:pPr>
        <w:bidi/>
        <w:spacing w:after="110" w:before="60" w:line="30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توجه: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color w:val="555555"/>
          <w:sz w:val="19"/>
          <w:szCs w:val="19"/>
          <w:rtl/>
        </w:rPr>
        <w:t xml:space="preserve">ظرفیت ضمانت‌نامهٔ خارج از ترازنامه تا ۱۲× سرمایه = ۴٬۸۰۰ میلیارد تومان و منابع تحت عاملیت به‌صورت جداگانه اهرم می‌شوند و سرمایهٔ پایه را مصرف نمی‌کنند. رشد پرتفوی در سال‌های بعد از محل سود انباشته و خط اعتباری تأمین می‌شود.</w:t>
      </w:r>
    </w:p>
    <w:p>
      <w:r>
        <w:br w:type="pag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۶) مفروضات کلیدی مدل</w:t>
      </w:r>
    </w:p>
    <w:tbl>
      <w:tblPr>
        <w:bidiVisual/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40"/>
        <w:gridCol w:w="5540"/>
      </w:tblGrid>
      <w:tr>
        <w:trPr>
          <w:tblHeader/>
        </w:trP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پارامتر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مقدار / دامنه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سرمایهٔ ثبتی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۴۰۰ میلیارد تومان (تأدیه‌شده)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سقف صدور ضمانت‌نامه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۱۲× سرمایه = ۴٬۸۰۰ میلیارد تومان (سقف مقرراتی)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کارمزد مؤثر ضمانت‌نامه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۳٫۵٪ تا ۳٫۷٪ سالانه (ترکیب دانش‌بنیان/تجاری)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سپردهٔ نقدی مشتری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۵٪ تا ۱۳٪ (میانگین ~۱۰٪)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نرخ خزانه/سپرده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۲۵٪ تا ۲۶٪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حاشیهٔ سود خالص تسهیلات (NIM)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۹٪ تا ۱۰٪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اسپرد فاکتورینگ/خرید دین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۱۲٪ تا ۱۲٫۵٪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کارمزد عاملیت/مدیریت منابع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۲٪ تا ۲٫۲٪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اسپرد خالص اهرم خط اعتباری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۸٪ روی منابع برداشت‌شده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نرخ ذخیره‌گیری ریسک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۰٫۸٪ تعهدات + ۲٫۵٪ تسهیلات/فاکتورینگ</w:t>
            </w:r>
          </w:p>
        </w:tc>
      </w:tr>
      <w:tr>
        <w:tc>
          <w:tcPr>
            <w:tcW w:type="dxa" w:w="4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مالیات</w:t>
            </w:r>
          </w:p>
        </w:tc>
        <w:tc>
          <w:tcPr>
            <w:tcW w:type="dxa" w:w="554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عمدتاً معاف (دانش‌بنیان/RTF)؛ ذخیرهٔ محتاطانه برای جریان مشمول</w:t>
            </w:r>
          </w:p>
        </w:tc>
      </w:tr>
    </w:tbl>
    <w:p>
      <w:pPr>
        <w:spacing w:after="8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۷) بودجهٔ عملیاتی و صورت سود و زیان پنج‌ساله</w:t>
      </w:r>
    </w:p>
    <w:tbl>
      <w:tblPr>
        <w:bidiVisual/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0"/>
        <w:gridCol w:w="1320"/>
        <w:gridCol w:w="1320"/>
        <w:gridCol w:w="1320"/>
        <w:gridCol w:w="1320"/>
        <w:gridCol w:w="1320"/>
      </w:tblGrid>
      <w:tr>
        <w:trPr>
          <w:tblHeader/>
        </w:trP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سرفصل (میلیارد تومان)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۱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۲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۳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۴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۵</w:t>
            </w:r>
          </w:p>
        </w:tc>
      </w:tr>
      <w:tr>
        <w:tc>
          <w:tcPr>
            <w:tcW w:type="dxa" w:w="10080"/>
            <w:gridSpan w:val="6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F5EFDD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7A5C12"/>
                <w:sz w:val="20"/>
                <w:szCs w:val="20"/>
                <w:rtl/>
              </w:rPr>
              <w:t xml:space="preserve">درآمد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کارمزد ضمانت‌نامه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17.5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42.0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79.2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115.2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155.4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سود خالص تسهیلات (منابع داخلی)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7.2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13.5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20.9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26.6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34.0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درآمد خرید دین / فاکتورینگ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4.8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10.8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16.8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22.5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27.5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کارمزد عاملیت و مدیریت منابع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8.0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18.0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33.0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48.4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سود تقسیمی سرمایه‌گذاری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1.8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3.3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5.6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7.4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10.4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عواید تحقق‌یافتهٔ خروج (Exit)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75.0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درآمد خالص اهرم خط اعتباری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12.0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28.0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48.0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درآمد خزانه‌داری + float ودیعه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57.5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46.5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59.0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77.0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99.6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درآمد فناورانه و نوظهور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18.0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45.0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85.0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140.0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سایر کارمزدها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12.0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28.0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36.0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جمع درآمد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101.8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171.1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312.5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474.6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674.3</w:t>
            </w:r>
          </w:p>
        </w:tc>
      </w:tr>
      <w:tr>
        <w:tc>
          <w:tcPr>
            <w:tcW w:type="dxa" w:w="10080"/>
            <w:gridSpan w:val="6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F5EFDD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7A5C12"/>
                <w:sz w:val="20"/>
                <w:szCs w:val="20"/>
                <w:rtl/>
              </w:rPr>
              <w:t xml:space="preserve">هزینه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پرسنل و منابع انسانی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22.0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35.0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68.0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88.0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اداری و عمومی (G&amp;A)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9.0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14.0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27.0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35.0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فناوری، زیرساخت و پلتفرم (Opex)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14.0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22.0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52.0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بازاریابی و توسعهٔ بازار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12.0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18.0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24.0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30.0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ذخیرهٔ مطالبات و ریسک تعهدات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15.6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26.6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37.1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47.6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هزینه‌های مالی و کارمزد بانکی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1.5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5.1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10.1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14.6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18.6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تأسیس و راه‌اندازی (یک‌بار)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8.0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—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—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—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—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استهلاک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8.0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10.0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12.0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14.0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حاکمیت، حقوقی، انطباق و حسابرسی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9.0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13.0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17.0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22.0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ذخیرهٔ مالیاتی (محتاطانه)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—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1.5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11.0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جمع هزینه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79.5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122.2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181.7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246.7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318.2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سود (زیان) خالص سالانه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22.3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48.9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130.8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227.9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356.1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سود انباشته (Cumulative)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22.3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71.2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202.0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429.9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DCCF9E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786.0</w:t>
            </w:r>
          </w:p>
        </w:tc>
      </w:tr>
    </w:tbl>
    <w:p>
      <w:r>
        <w:br w:type="pag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۸) سرفصل درآمد و هزینهٔ سال نخست تا نقطهٔ سربه‌سر</w:t>
      </w:r>
    </w:p>
    <w:p>
      <w:pPr>
        <w:bidi/>
        <w:spacing w:after="110" w:before="0" w:line="300"/>
        <w:jc w:val="right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توزیع ماهانهٔ سال نخست: درآمد خزانه‌داری از ماه نخست محقق و سایر درآمدها به‌تدریج بالغ می‌شوند؛ هزینه‌های راه‌اندازی در سه‌ماههٔ اول متمرکزند. ردیف‌های پررنگ، نقاط سربه‌سر را نشان می‌دهند.</w:t>
      </w:r>
    </w:p>
    <w:tbl>
      <w:tblPr>
        <w:bidiVisual/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80"/>
        <w:gridCol w:w="2000"/>
        <w:gridCol w:w="2000"/>
        <w:gridCol w:w="2000"/>
        <w:gridCol w:w="2000"/>
      </w:tblGrid>
      <w:tr>
        <w:trPr>
          <w:tblHeader/>
        </w:trP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ماه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درآمد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هزینه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خالص ماه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سود انباشته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۱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5.36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8.28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−2.92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−2.92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۲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5.93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7.50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−1.57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−4.49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۳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6.50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7.21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−0.71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−5.21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ماه ۴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7.06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5.42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+1.64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−3.57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۵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7.63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5.64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+1.99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−1.57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ماه ۶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8.20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5.85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+2.35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3EAD3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+0.78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۷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8.77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6.07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+2.70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+3.48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۸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9.34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6.28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+3.06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+6.53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۹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9.90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6.49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+3.41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+9.94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۱۰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10.47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6.71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+3.76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+13.71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۱۱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11.04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6.92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+4.12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+17.83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ماه ۱۲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11.61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7.13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+4.47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+22.30</w:t>
            </w:r>
          </w:p>
        </w:tc>
      </w:tr>
      <w:tr>
        <w:tc>
          <w:tcPr>
            <w:tcW w:type="dxa" w:w="20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جمع سال ۱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101.8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79.5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+22.3</w:t>
            </w:r>
          </w:p>
        </w:tc>
        <w:tc>
          <w:tcPr>
            <w:tcW w:type="dxa" w:w="200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EAE0C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sz w:val="20"/>
                <w:szCs w:val="20"/>
                <w:rtl/>
              </w:rPr>
              <w:t xml:space="preserve">—</w:t>
            </w:r>
          </w:p>
        </w:tc>
      </w:tr>
    </w:tbl>
    <w:p>
      <w:pPr>
        <w:spacing w:after="8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pStyle w:val="Heading2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9A7A1A"/>
          <w:sz w:val="25"/>
          <w:szCs w:val="25"/>
          <w:rtl/>
        </w:rPr>
        <w:t xml:space="preserve">تحلیل نقطهٔ سربه‌سر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نقطهٔ سربه‌سر عملیاتی (نخستین ماه سودده):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ماه ۴ — درآمد ماهانه از این نقطه به‌طور پایدار از هزینه پیشی می‌گیرد.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بازگشت کامل زیان راه‌اندازی (سربه‌سر انباشته):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ماه ۶ — بیشینهٔ افت انباشته ≈ ۵٫۲ میلیارد تومان (ماه ۳)، که بافر نقدی به‌راحتی پوشش می‌دهد.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نقطهٔ سربه‌سر هستهٔ اعتباری (بدون درآمد خزانه):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حدود ماه ۱۴ تا ۱۸ در سال دوم؛ یعنی کسب‌وکار ضمانت‌نامه/تسهیلات مستقل از درآمد خزانه به خودکفایی می‌رسد.</w:t>
      </w:r>
    </w:p>
    <w:p>
      <w:r>
        <w:br w:type="pag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۹) شاخص‌های کلیدی عملکرد (KPI)</w:t>
      </w:r>
    </w:p>
    <w:tbl>
      <w:tblPr>
        <w:bidiVisual/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0"/>
        <w:gridCol w:w="1320"/>
        <w:gridCol w:w="1320"/>
        <w:gridCol w:w="1320"/>
        <w:gridCol w:w="1320"/>
        <w:gridCol w:w="1320"/>
      </w:tblGrid>
      <w:tr>
        <w:trPr>
          <w:tblHeader/>
        </w:trP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شاخص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۱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۲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۳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۴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shd w:fill="7A5C12" w:val="clear"/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/>
                <w:bCs/>
                <w:i w:val="false"/>
                <w:iCs w:val="false"/>
                <w:color w:val="FFFFFF"/>
                <w:sz w:val="20"/>
                <w:szCs w:val="20"/>
                <w:rtl/>
              </w:rPr>
              <w:t xml:space="preserve">سال ۵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بازده حقوق صاحبان سهام (بر سرمایهٔ اولیه)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5.6%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12.2%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32.7%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57.0%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89.0%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نسبت هزینه به درآمد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78.1%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71.4%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58.1%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52.0%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47.2%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استفاده از سقف ضمانت‌نامه (از ۱۲×)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10.4%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25.0%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45.8%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66.7%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87.5%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ماندهٔ ضمانت‌نامه (پایان دوره)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500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1200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2200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3200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4200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منابع تحت‌مدیریت/عاملیت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100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400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900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1500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2200</w:t>
            </w:r>
          </w:p>
        </w:tc>
      </w:tr>
      <w:tr>
        <w:tc>
          <w:tcPr>
            <w:tcW w:type="dxa" w:w="348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right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خط اعتباری برداشت‌شده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150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350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500</w:t>
            </w:r>
          </w:p>
        </w:tc>
        <w:tc>
          <w:tcPr>
            <w:tcW w:type="dxa" w:w="1320"/>
            <w:tcBorders>
              <w:top w:val="single" w:color="BFAE80" w:sz="2"/>
              <w:left w:val="single" w:color="BFAE80" w:sz="2"/>
              <w:bottom w:val="single" w:color="BFAE80" w:sz="2"/>
              <w:right w:val="single" w:color="BFAE80" w:sz="2"/>
            </w:tcBorders>
            <w:tcMar>
              <w:top w:type="dxa" w:w="55"/>
              <w:left w:type="dxa" w:w="100"/>
              <w:bottom w:type="dxa" w:w="55"/>
              <w:right w:type="dxa" w:w="100"/>
            </w:tcMar>
            <w:vAlign w:val="center"/>
          </w:tcPr>
          <w:p>
            <w:pPr>
              <w:bidi/>
              <w:spacing w:after="0" w:line="255"/>
              <w:jc w:val="center"/>
            </w:pPr>
            <w:r>
              <w:rPr>
                <w:rFonts w:ascii="Vazirmatn" w:cs="Vazirmatn" w:eastAsia="Vazirmatn" w:hAnsi="Vazirmatn"/>
                <w:b w:val="false"/>
                <w:bCs w:val="false"/>
                <w:i w:val="false"/>
                <w:iCs w:val="false"/>
                <w:sz w:val="20"/>
                <w:szCs w:val="20"/>
                <w:rtl/>
              </w:rPr>
              <w:t xml:space="preserve">600</w:t>
            </w:r>
          </w:p>
        </w:tc>
      </w:tr>
    </w:tbl>
    <w:p>
      <w:pPr>
        <w:spacing w:after="10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pStyle w:val="Heading1"/>
        <w:bidi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7A5C12"/>
          <w:sz w:val="30"/>
          <w:szCs w:val="30"/>
          <w:rtl/>
        </w:rPr>
        <w:t xml:space="preserve">۱۰) ریسک‌ها، ملاحظات راهبردی و توصیه‌ها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ریسک نکول و فراخوان ضمانت‌نامه: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کاهش با وثیقهٔ طلا، اعتبارسنجی AI، تنوع پرتفوی و ذخیره‌گیری ۰٫۸٪.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ریسک نقدینگی و عدم‌تطابق سررسید: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حفظ بافر خزانهٔ حداقل ۱۵٪ و خطوط اعتباری پشتیبان.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ریسک مقرراتی کریپتو/توکن: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فعالیت صرفاً در چارچوب مجوزها؛ طراحی ماژولار و قابل‌توقف در صورت محدودیت بانک مرکزی.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ریسک انطباق و مبارزه با پولشویی (AML):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استقرار KYC/AML، گزارش‌دهی تراکنش مشکوک و حاکمیت قوی برای محصولات طلا و رمز.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ریسک مالیاتی: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بهره‌مندی حداکثری از معافیت دانش‌بنیان/RTF و تفکیک شفاف جریان‌های مشمول.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ریسک معاملات با اشخاص وابسته (گروه داریک):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حاکمیت شرکتی شفاف، کمیتهٔ ریسک مستقل و سقف تمرکز برای مدیریت شاکلهٔ گروهی.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ریسک اجرا و جذب استعداد: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برنامهٔ منابع انسانی و فناوری در بودجه دیده شده؛ استخدام تدریجی تا ~۹۰ نفر تا سال پنجم.</w:t>
      </w:r>
    </w:p>
    <w:p>
      <w:pPr>
        <w:pStyle w:val="ListParagraph"/>
        <w:numPr>
          <w:ilvl w:val="0"/>
          <w:numId w:val="2"/>
        </w:numPr>
        <w:bidi/>
        <w:spacing w:after="70" w:line="29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sz w:val="22"/>
          <w:szCs w:val="22"/>
          <w:rtl/>
        </w:rPr>
        <w:t xml:space="preserve">مزیت راهبردی: </w:t>
      </w: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>ترکیب «اهرم مقرراتی ۱۲× + وثیقهٔ طلا + اتوماسیون AI» مرز کارایی متفاوتی نسبت به صندوق‌های سنتی ایجاد می‌کند و مبنای پیشی‌گرفتن سریع از رقباست.</w:t>
      </w:r>
    </w:p>
    <w:p>
      <w:pPr>
        <w:spacing w:after="120"/>
      </w:pPr>
      <w:r>
        <w:rPr>
          <w:rFonts w:ascii="Vazirmatn" w:cs="Vazirmatn" w:eastAsia="Vazirmatn" w:hAnsi="Vazirmatn"/>
          <w:b w:val="false"/>
          <w:bCs w:val="false"/>
          <w:i w:val="false"/>
          <w:iCs w:val="false"/>
          <w:sz w:val="22"/>
          <w:szCs w:val="22"/>
          <w:rtl/>
        </w:rPr>
        <w:t xml:space="preserve"/>
      </w:r>
    </w:p>
    <w:p>
      <w:pPr>
        <w:bidi/>
        <w:spacing w:after="110" w:before="0" w:line="280"/>
        <w:jc w:val="right"/>
      </w:pPr>
      <w:r>
        <w:rPr>
          <w:rFonts w:ascii="Vazirmatn" w:cs="Vazirmatn" w:eastAsia="Vazirmatn" w:hAnsi="Vazirmatn"/>
          <w:b/>
          <w:bCs/>
          <w:i w:val="false"/>
          <w:iCs w:val="false"/>
          <w:color w:val="999999"/>
          <w:sz w:val="22"/>
          <w:szCs w:val="22"/>
          <w:rtl/>
        </w:rPr>
        <w:t xml:space="preserve">سلب مسئولیت: </w:t>
      </w:r>
      <w:r>
        <w:rPr>
          <w:rFonts w:ascii="Vazirmatn" w:cs="Vazirmatn" w:eastAsia="Vazirmatn" w:hAnsi="Vazirmatn"/>
          <w:b w:val="false"/>
          <w:bCs w:val="false"/>
          <w:i/>
          <w:iCs/>
          <w:color w:val="999999"/>
          <w:sz w:val="18"/>
          <w:szCs w:val="18"/>
          <w:rtl/>
        </w:rPr>
        <w:t xml:space="preserve">این پیش‌نویس صرفاً برای برنامه‌ریزی داخلی و گفت‌وگوی هیئت‌مدیره تهیه شده و توصیهٔ سرمایه‌گذاری یا حقوقی نیست. ارقام، مدل پایه با مفروضات صریح‌اند و باید با داده‌های واقعی، مقررات روز کارگروه صندوق‌های پژوهش و فناوری و صندوق نوآوری و شکوفایی، و مشاور مالی/حقوقی صحت‌سنجی شوند.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bidi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FAE80" w:sz="4" w:space="4"/>
      </w:pBdr>
      <w:bidi/>
      <w:jc w:val="center"/>
    </w:pPr>
    <w:r>
      <w:rPr>
        <w:rFonts w:ascii="Vazirmatn" w:cs="Vazirmatn" w:eastAsia="Vazirmatn" w:hAnsi="Vazirmatn"/>
        <w:b w:val="false"/>
        <w:bCs w:val="false"/>
        <w:i w:val="false"/>
        <w:iCs w:val="false"/>
        <w:color w:val="888888"/>
        <w:sz w:val="16"/>
        <w:szCs w:val="16"/>
        <w:rtl/>
      </w:rPr>
      <w:t xml:space="preserve">محرمانه — پیش‌نویس  |  صندوق پژوهش و فناوری داریک  |  صفحهٔ </w:t>
    </w:r>
    <w:r>
      <w:rPr>
        <w:rFonts w:ascii="Vazirmatn" w:cs="Vazirmatn" w:eastAsia="Vazirmatn" w:hAnsi="Vazirmatn"/>
        <w:color w:val="888888"/>
        <w:sz w:val="16"/>
        <w:szCs w:val="16"/>
        <w:rtl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star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right"/>
      <w:pPr>
        <w:ind w:start="4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azirmatn" w:cs="Vazirmatn" w:eastAsia="Vazirmatn" w:hAnsi="Vazirmat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280"/>
      <w:outlineLvl w:val="0"/>
    </w:pPr>
    <w:rPr>
      <w:rFonts w:ascii="Vazirmatn" w:cs="Vazirmatn" w:eastAsia="Vazirmatn" w:hAnsi="Vazirmatn"/>
      <w:b/>
      <w:bCs/>
      <w:color w:val="7A5C12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10" w:before="200"/>
      <w:outlineLvl w:val="1"/>
    </w:pPr>
    <w:rPr>
      <w:rFonts w:ascii="Vazirmatn" w:cs="Vazirmatn" w:eastAsia="Vazirmatn" w:hAnsi="Vazirmatn"/>
      <w:b/>
      <w:bCs/>
      <w:color w:val="9A7A1A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پیش‌نویس بودجهٔ عملیاتی صندوق پژوهش و فناوری داریک</dc:title>
  <dc:creator>Daric R&amp;D Fund</dc:creator>
  <cp:lastModifiedBy>Un-named</cp:lastModifiedBy>
  <cp:revision>1</cp:revision>
  <dcterms:created xsi:type="dcterms:W3CDTF">2026-06-05T23:06:13.243Z</dcterms:created>
  <dcterms:modified xsi:type="dcterms:W3CDTF">2026-06-05T23:06:13.243Z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